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jc w:val="both"/>
        <w:rPr>
          <w:rFonts w:ascii="Liberation Serif" w:hAnsi="Liberation Serif"/>
          <w:i/>
          <w:i/>
          <w:iCs/>
          <w:color w:val="193300"/>
          <w:sz w:val="64"/>
          <w:szCs w:val="64"/>
        </w:rPr>
      </w:pPr>
      <w:r>
        <w:rPr>
          <w:rFonts w:ascii="Liberation Serif" w:hAnsi="Liberation Serif"/>
          <w:i/>
          <w:iCs/>
          <w:color w:val="193300"/>
          <w:sz w:val="64"/>
          <w:szCs w:val="64"/>
        </w:rPr>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t>Unsere  Zukunft</w:t>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t>hat  begonnen !</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drawing>
          <wp:anchor behindDoc="0" distT="0" distB="0" distL="0" distR="0" simplePos="0" locked="0" layoutInCell="1" allowOverlap="1" relativeHeight="2">
            <wp:simplePos x="0" y="0"/>
            <wp:positionH relativeFrom="column">
              <wp:posOffset>732155</wp:posOffset>
            </wp:positionH>
            <wp:positionV relativeFrom="paragraph">
              <wp:posOffset>59690</wp:posOffset>
            </wp:positionV>
            <wp:extent cx="2758440" cy="199517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758440" cy="1995170"/>
                    </a:xfrm>
                    <a:prstGeom prst="rect">
                      <a:avLst/>
                    </a:prstGeom>
                  </pic:spPr>
                </pic:pic>
              </a:graphicData>
            </a:graphic>
          </wp:anchor>
        </w:drawing>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00888A"/>
        </w:rPr>
      </w:pPr>
      <w:r>
        <w:rPr>
          <w:rFonts w:ascii="Liberation Serif" w:hAnsi="Liberation Serif"/>
          <w:b/>
          <w:bCs/>
          <w:color w:val="00888A"/>
          <w:sz w:val="28"/>
          <w:szCs w:val="28"/>
        </w:rPr>
        <w:t>Nr.1</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sz w:val="20"/>
          <w:szCs w:val="20"/>
        </w:rPr>
      </w:pPr>
      <w:r>
        <w:rPr>
          <w:rFonts w:ascii="Liberation Serif" w:hAnsi="Liberation Serif"/>
          <w:color w:val="193300"/>
          <w:sz w:val="20"/>
          <w:szCs w:val="20"/>
        </w:rPr>
        <w:t>R.Plaas, 10.2018</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Himmel und Ewiges Leben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Ich denke soeben an Offenbarung 21 &amp; 22! Und dann ist noch Jesaja 65 interessant, wo vom neuen Himmel und der neuen Erde die Rede ist; da denke ich noch an die tausendjährige Friedens-Zeit, gemäss Offenbarung 20. Es gibt also eine irdische Welt, die ewig Bestand haben wird, wunderbar.</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Nun denke ich an den Satz, dass Auferstehung Neuschöpfung bedeute – nun, ja, der Leib der Menschen und Tiere wird unsterblich sein, jung und gesund.</w:t>
      </w:r>
    </w:p>
    <w:p>
      <w:pPr>
        <w:pStyle w:val="Normal"/>
        <w:jc w:val="both"/>
        <w:rPr>
          <w:rFonts w:ascii="Liberation Serif" w:hAnsi="Liberation Serif"/>
        </w:rPr>
      </w:pPr>
      <w:r>
        <w:rPr>
          <w:rFonts w:ascii="Liberation Serif" w:hAnsi="Liberation Serif"/>
        </w:rPr>
        <w:t>Und die Seelen gehen nach dem Sterben des jetzigen Leibes in das Paradies oder das Totenreich, wo sie auf die zweite Auferstehung warten müssen.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Ja, die Oberfläche der Erde wird gesäubert werden, so dass dann ein neues Paradies entstehen kann; und das Ewige Jerusalem wird dann die Hauptstadt sein, herrlich. Unsere Körper werden, wie gesagt, unsterblich, jung und vollständig gesund sein! Ja, wir können dann einander besuchen, Köstlichkeiten austauschen, Lieder singen, vom Herrn sprechen und Ihn preisen. Wir werden sehen, ob es z.B. Pferde-Kutschen geben wird; oder werden wir von Ort zu Ort schweben können?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Entrückung und Ewiges Leben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Ich verweise eben zu Anfang an die vorige Schrift in dem Titel Himmel und Ewiges Leben.</w:t>
      </w:r>
    </w:p>
    <w:p>
      <w:pPr>
        <w:pStyle w:val="Normal"/>
        <w:jc w:val="both"/>
        <w:rPr>
          <w:rFonts w:ascii="Liberation Serif" w:hAnsi="Liberation Serif"/>
        </w:rPr>
      </w:pPr>
      <w:r>
        <w:rPr>
          <w:rFonts w:ascii="Liberation Serif" w:hAnsi="Liberation Serif"/>
        </w:rPr>
        <w:t>Zum Thema Entrückung gehört gewiss das Gleichnis der zehn Jungfrauen, Matthäus 25, 1 – 13; sodann der Vers in 1.Thessalonicher 4, 13 – 18; und 1.Mose 5, 24.</w:t>
      </w:r>
    </w:p>
    <w:p>
      <w:pPr>
        <w:pStyle w:val="Normal"/>
        <w:jc w:val="both"/>
        <w:rPr>
          <w:rFonts w:ascii="Liberation Serif" w:hAnsi="Liberation Serif"/>
        </w:rPr>
      </w:pPr>
      <w:r>
        <w:rPr>
          <w:rFonts w:ascii="Liberation Serif" w:hAnsi="Liberation Serif"/>
        </w:rPr>
        <w:t>Ja, trostreiche Worte sind wertvoll (wie hier im Thessalonicher).</w:t>
      </w:r>
    </w:p>
    <w:p>
      <w:pPr>
        <w:pStyle w:val="Normal"/>
        <w:jc w:val="both"/>
        <w:rPr>
          <w:rFonts w:ascii="Liberation Serif" w:hAnsi="Liberation Serif"/>
        </w:rPr>
      </w:pPr>
      <w:r>
        <w:rPr>
          <w:rFonts w:ascii="Liberation Serif" w:hAnsi="Liberation Serif"/>
        </w:rPr>
      </w:r>
    </w:p>
    <w:p>
      <w:pPr>
        <w:pStyle w:val="Normal"/>
        <w:jc w:val="both"/>
        <w:rPr/>
      </w:pPr>
      <w:r>
        <w:rPr>
          <w:rFonts w:ascii="Liberation Serif" w:hAnsi="Liberation Serif"/>
        </w:rPr>
        <w:t>Die Überwinder aus den gesamten Zeitalter unserer Kirchen-Geschichte werden die Braut Christi genannt (</w:t>
      </w:r>
      <w:r>
        <w:rPr>
          <w:rFonts w:ascii="Liberation Serif" w:hAnsi="Liberation Serif"/>
        </w:rPr>
        <w:t>zusammen mit den</w:t>
      </w:r>
      <w:r>
        <w:rPr>
          <w:rFonts w:ascii="Liberation Serif" w:hAnsi="Liberation Serif"/>
        </w:rPr>
        <w:t xml:space="preserve"> fünf klugen Jungfrauen in jenem Gleichnis). Für diese ist die Entrückung ein wirkliches Macht-Erlebnis – den unsterblichen Leib haben und zum Thron Gottes und dem Ewigen Jerusalem emporgehoben werden, wie wunderbar!</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So hat in der Wiedergeburt das Ewige Leben begonnen, die Entrückung ist eine klare Bestätigung und die Einweisung in die Ewigkeit. Diese Braut des Herrn wird tausend Jahre auf der jetzigen Erde Priester sein und mit Christus regieren, siehe Offenbarung 20.</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Dann kommt die neue Erde, wo das Himmlische Jerusalem die Haupt-Stadt sein wird; ja, die Braut Christi wird dort ihren Regierungs-Sitz haben, mit Beratungen und dergleichen Funktionen. Ich selbst rechne damit, dort sein zu dürfen; und da wünsche ich mir, ins Paradies gehen zu dürfen und alte Bekannte zu treffen.</w:t>
      </w:r>
    </w:p>
    <w:p>
      <w:pPr>
        <w:pStyle w:val="Normal"/>
        <w:jc w:val="both"/>
        <w:rPr>
          <w:rFonts w:ascii="Liberation Serif" w:hAnsi="Liberation Serif"/>
        </w:rPr>
      </w:pPr>
      <w:r>
        <w:rPr>
          <w:rFonts w:ascii="Liberation Serif" w:hAnsi="Liberation Serif"/>
        </w:rPr>
        <w:t>Eine Frage ist hier für mich noch offen, nämlich, ob es Reisen ins Universum zu fernen Welten geben wird (??).</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Toleranz ?</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Ist Gott tolerant? Ich stosse auf diesen Punkt, indem ich an die indischen Religionen gedacht habe, wo von der Reinkarnation gesprochen wird. Ich selbst glaube nicht an diese Seelen-Wanderung!</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Gott ist gütig, barmherzig, gnädig und geduldig. Er vergibt uns die Schuld und Missetaten. Wenn also von Schuld und Sünde gesprochen wird, muss da ja einen Anlass zur Sühne und Vergebung vorhanden sein.</w:t>
      </w:r>
    </w:p>
    <w:p>
      <w:pPr>
        <w:pStyle w:val="Normal"/>
        <w:jc w:val="both"/>
        <w:rPr>
          <w:rFonts w:ascii="Liberation Serif" w:hAnsi="Liberation Serif"/>
        </w:rPr>
      </w:pPr>
      <w:r>
        <w:rPr>
          <w:rFonts w:ascii="Liberation Serif" w:hAnsi="Liberation Serif"/>
        </w:rPr>
        <w:t>Wir kennen die biblische Erzählung vom Sündenfall und der Geschichte der Menscheheit bis heute (Kirchen-Geschichte einbezogen). Und Gott ist nicht der gutmütige tolerante Kumpel, Der sagt, ‹jaja, s`ist doch schon gut, Meine Kinder, ihr wart ein wenig daneben, doch ich habe euch sowieso lieb›.</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Die Liebe Gottes ist hier, und Er ist bereit, Sünde, Missetaten und Schuld zu vergeben. Ja, wer will sich schon sagen lassen, er / sie sei sündig? Doch habe ich heraus gefunden, dass die Nicht-Juden genau so Sünder wie die Juden unter dem Gesetz des Mose sind. Götzen-Dienst, okkulte Praktiken und Unzucht sind so der Grund-Raster dieser Sündhaftigkeit, jaja!</w:t>
      </w:r>
    </w:p>
    <w:p>
      <w:pPr>
        <w:pStyle w:val="Normal"/>
        <w:jc w:val="both"/>
        <w:rPr>
          <w:rFonts w:ascii="Liberation Serif" w:hAnsi="Liberation Serif"/>
        </w:rPr>
      </w:pPr>
      <w:r>
        <w:rPr>
          <w:rFonts w:ascii="Liberation Serif" w:hAnsi="Liberation Serif"/>
        </w:rPr>
        <w:t>Unser Verhältnis zu Jesus ist der Angelpunkt, wo sich jede Person prüfen kann. Haben wir Interesse, mit Ihm in Kontakt und zu einer verbindlichen Gemeinschaft zu kommen? Ja, ist klar anerkannt, dass Jesus eine historische Person ist und die Evangelien klare Geschichts-Schreibung sind? Wir kommen da zur Sache der Wiedergeburt durch den Glauben an Jesus und den Empfang des Heiligen Geistes, Johannes-Ev. 3, 3 – 8.</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pPr>
      <w:r>
        <w:rPr>
          <w:rFonts w:ascii="Liberation Serif" w:hAnsi="Liberation Serif"/>
          <w:b/>
          <w:bCs/>
          <w:sz w:val="28"/>
          <w:szCs w:val="28"/>
        </w:rPr>
        <w:t>Die Jesus-Geschichte</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Unser Verhältnis zu Jesus ist der Angelpunkt, wo sich jede Person prüfen kann. Haben wir Interesse, mit Ihm in Kontakt und zu einer verbindlichen Gemeinschaft zu kommen? Ja, ist klar anerkannt, dass Jesus eine historische Person ist und die Evangelien klare Geschichts-Schreibung sind? Wir kommen da zur Sache der Wiedergeburt durch den Glauben an Jesus und den Empfang des Heiligen Geistes, Johannes-Ev. 3, 3 – 8.</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Eben, die liberale Theologie z.B. vertritt die Sicht, dass es da Mal nen Wander-Prediger gegeben habe, der hingerichtet wurde. Ja, und die Schriften wie Evanglien und Apostel-Geschichte seien da einfach die Bezeugung des Glaubens an jene Person. Geschichten, mit Gleichnissen ausgeschmückt.</w:t>
      </w:r>
    </w:p>
    <w:p>
      <w:pPr>
        <w:pStyle w:val="Normal"/>
        <w:jc w:val="both"/>
        <w:rPr>
          <w:rFonts w:ascii="Liberation Serif" w:hAnsi="Liberation Serif"/>
        </w:rPr>
      </w:pPr>
      <w:r>
        <w:rPr>
          <w:rFonts w:ascii="Liberation Serif" w:hAnsi="Liberation Serif"/>
        </w:rPr>
        <w:t>Na, wo kommen wir denn hin, wenn die Bibel in ihrer bekannten heutigen Form nicht mehr ernst genommen wird?</w:t>
      </w:r>
    </w:p>
    <w:p>
      <w:pPr>
        <w:pStyle w:val="Normal"/>
        <w:jc w:val="both"/>
        <w:rPr/>
      </w:pPr>
      <w:r>
        <w:rPr>
          <w:rFonts w:ascii="Liberation Serif" w:hAnsi="Liberation Serif"/>
        </w:rPr>
        <w:t>Ich war an der Universität und habe da Vorlesungen in historischer Schriftforschung gehört; da gibts die historisch-kritische Methode. Ach, ich bin dauernd gestolpert – ob es Moses tatsächlich gegeben habe, oder wie ist es denn mit Abraham, der anscheinend Gottes Stimme gehört habe? Oder ist das alles menschliche Phantasie, welche mit einer überzeugten Religiosität zum Ausdruck gebracht wurde?</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Meine Sicht ist gewiss, dass die geschichtlichen Bezeugungen in der Heiligen Schrift historische Tatsachen sind. Es ist anzunehmen, dass tatsächlich Mose die ersten fünf Bücher der Bibel geschrieben hat. Ja, ich erinnere mich an das Buch mit dem Titel ‹Inspiration und Autorität der Bibel›; es hat mir damals geholfen, diese bibelkritische Methode zu durchschauen und mich an den Glauben an den auferstandenen Messias Jesus von Nazareth zu halten.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sz w:val="20"/>
          <w:szCs w:val="20"/>
        </w:rPr>
      </w:pPr>
      <w:r>
        <w:rPr>
          <w:rFonts w:ascii="Liberation Serif" w:hAnsi="Liberation Serif"/>
          <w:color w:val="193300"/>
          <w:sz w:val="20"/>
          <w:szCs w:val="20"/>
        </w:rPr>
        <w:t>RU-DI, 16.10.2018</w:t>
      </w:r>
    </w:p>
    <w:p>
      <w:pPr>
        <w:pStyle w:val="Normal"/>
        <w:jc w:val="both"/>
        <w:rPr/>
      </w:pPr>
      <w:hyperlink r:id="rId3">
        <w:r>
          <w:rPr>
            <w:rStyle w:val="InternetLink"/>
            <w:rFonts w:ascii="Liberation Serif" w:hAnsi="Liberation Serif"/>
            <w:color w:val="193300"/>
            <w:sz w:val="20"/>
            <w:szCs w:val="20"/>
          </w:rPr>
          <w:t>www.auferstehung.ch</w:t>
        </w:r>
      </w:hyperlink>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
    </w:p>
    <w:sectPr>
      <w:type w:val="nextPage"/>
      <w:pgSz w:w="8391" w:h="11906"/>
      <w:pgMar w:left="873" w:right="873"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Bitstream Vera Serif">
    <w:charset w:val="01"/>
    <w:family w:val="roman"/>
    <w:pitch w:val="variable"/>
  </w:font>
  <w:font w:name="Liberation Serif">
    <w:altName w:val="Times New Roman"/>
    <w:charset w:val="01"/>
    <w:family w:val="swiss"/>
    <w:pitch w:val="variable"/>
  </w:font>
  <w:font w:name="StarSymbol">
    <w:altName w:val="Arial Unicode MS"/>
    <w:charset w:val="01"/>
    <w:family w:val="roman"/>
    <w:pitch w:val="variable"/>
  </w:font>
  <w:font w:name="Bitstream Vera Sans">
    <w:charset w:val="01"/>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itstream Vera Serif" w:hAnsi="Bitstream Vera Serif" w:eastAsia="Bitstream Vera Sans" w:cs="Tahoma"/>
        <w:sz w:val="20"/>
        <w:szCs w:val="24"/>
        <w:lang w:val="de-CH" w:eastAsia="zxx" w:bidi="zxx"/>
      </w:rPr>
    </w:rPrDefault>
    <w:pPrDefault>
      <w:pPr/>
    </w:pPrDefault>
  </w:docDefaults>
  <w:style w:type="paragraph" w:styleId="Normal">
    <w:name w:val="Normal"/>
    <w:qFormat/>
    <w:pPr>
      <w:widowControl w:val="false"/>
      <w:overflowPunct w:val="true"/>
      <w:bidi w:val="0"/>
      <w:jc w:val="left"/>
    </w:pPr>
    <w:rPr>
      <w:rFonts w:ascii="Bitstream Vera Serif" w:hAnsi="Bitstream Vera Serif" w:eastAsia="Bitstream Vera Sans" w:cs="Tahoma"/>
      <w:color w:val="auto"/>
      <w:kern w:val="0"/>
      <w:sz w:val="24"/>
      <w:szCs w:val="24"/>
      <w:lang w:val="de-CH" w:eastAsia="zxx" w:bidi="zxx"/>
    </w:rPr>
  </w:style>
  <w:style w:type="paragraph" w:styleId="Heading1">
    <w:name w:val="Heading 1"/>
    <w:basedOn w:val="Heading"/>
    <w:qFormat/>
    <w:pPr>
      <w:spacing w:before="240" w:after="120"/>
      <w:outlineLvl w:val="0"/>
    </w:pPr>
    <w:rPr>
      <w:rFonts w:ascii="Liberation Serif" w:hAnsi="Liberation Serif" w:eastAsia="DejaVu Sans" w:cs="FreeSans"/>
      <w:b/>
      <w:bCs/>
      <w:sz w:val="48"/>
      <w:szCs w:val="48"/>
    </w:rPr>
  </w:style>
  <w:style w:type="paragraph" w:styleId="Heading2">
    <w:name w:val="Heading 2"/>
    <w:basedOn w:val="Heading"/>
    <w:qFormat/>
    <w:pPr>
      <w:spacing w:before="200" w:after="120"/>
      <w:outlineLvl w:val="1"/>
    </w:pPr>
    <w:rPr>
      <w:rFonts w:ascii="Liberation Serif" w:hAnsi="Liberation Serif" w:eastAsia="DejaVu Sans" w:cs="FreeSans"/>
      <w:b/>
      <w:bCs/>
      <w:sz w:val="36"/>
      <w:szCs w:val="36"/>
    </w:rPr>
  </w:style>
  <w:style w:type="character" w:styleId="NumberingSymbols">
    <w:name w:val="Numbering Symbols"/>
    <w:qFormat/>
    <w:rPr/>
  </w:style>
  <w:style w:type="character" w:styleId="Bullets">
    <w:name w:val="Bullets"/>
    <w:qFormat/>
    <w:rPr>
      <w:rFonts w:ascii="StarSymbol" w:hAnsi="StarSymbol" w:eastAsia="StarSymbol" w:cs="StarSymbol"/>
      <w:sz w:val="18"/>
      <w:szCs w:val="18"/>
    </w:rPr>
  </w:style>
  <w:style w:type="character" w:styleId="InternetLink">
    <w:name w:val="Internet Link"/>
    <w:rPr>
      <w:color w:val="000080"/>
      <w:u w:val="single"/>
      <w:lang w:val="zxx" w:eastAsia="zxx" w:bidi="zxx"/>
    </w:rPr>
  </w:style>
  <w:style w:type="character" w:styleId="Q">
    <w:name w:val="q"/>
    <w:qFormat/>
    <w:rPr/>
  </w:style>
  <w:style w:type="character" w:styleId="ListLabel1">
    <w:name w:val="ListLabel 1"/>
    <w:qFormat/>
    <w:rPr>
      <w:rFonts w:ascii="Liberation Serif" w:hAnsi="Liberation Serif"/>
      <w:color w:val="193300"/>
      <w:sz w:val="20"/>
      <w:szCs w:val="20"/>
    </w:rPr>
  </w:style>
  <w:style w:type="character" w:styleId="ListLabel2">
    <w:name w:val="ListLabel 2"/>
    <w:qFormat/>
    <w:rPr>
      <w:rFonts w:ascii="Liberation Serif" w:hAnsi="Liberation Serif"/>
      <w:color w:val="193300"/>
      <w:sz w:val="20"/>
      <w:szCs w:val="20"/>
    </w:rPr>
  </w:style>
  <w:style w:type="character" w:styleId="ListLabel3">
    <w:name w:val="ListLabel 3"/>
    <w:qFormat/>
    <w:rPr>
      <w:rFonts w:ascii="Liberation Serif" w:hAnsi="Liberation Serif"/>
      <w:color w:val="193300"/>
      <w:sz w:val="20"/>
      <w:szCs w:val="20"/>
    </w:rPr>
  </w:style>
  <w:style w:type="character" w:styleId="ListLabel4">
    <w:name w:val="ListLabel 4"/>
    <w:qFormat/>
    <w:rPr>
      <w:rFonts w:ascii="Liberation Serif" w:hAnsi="Liberation Serif"/>
      <w:color w:val="193300"/>
      <w:sz w:val="20"/>
      <w:szCs w:val="20"/>
    </w:rPr>
  </w:style>
  <w:style w:type="paragraph" w:styleId="Heading">
    <w:name w:val="Heading"/>
    <w:basedOn w:val="Normal"/>
    <w:next w:val="TextBody"/>
    <w:qFormat/>
    <w:pPr>
      <w:keepNext w:val="true"/>
      <w:spacing w:before="240" w:after="120"/>
    </w:pPr>
    <w:rPr>
      <w:rFonts w:ascii="Bitstream Vera Sans" w:hAnsi="Bitstream Vera Sans" w:eastAsia="Mincho"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auferstehung.ch/"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402</TotalTime>
  <Application>LibreOffice/6.0.6.2$Linux_X86_64 LibreOffice_project/00m0$Build-2</Application>
  <Pages>8</Pages>
  <Words>879</Words>
  <Characters>4789</Characters>
  <CharactersWithSpaces>5646</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2013-08-02T10:00:53Z</dcterms:created>
  <dc:creator/>
  <dc:description/>
  <dc:language>de-CH</dc:language>
  <cp:lastModifiedBy/>
  <cp:lastPrinted>2016-06-06T10:52:56Z</cp:lastPrinted>
  <dcterms:modified xsi:type="dcterms:W3CDTF">2018-11-05T08:28:13Z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